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2A" w:rsidRPr="00562181" w:rsidRDefault="00AE642A" w:rsidP="00AE642A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2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№ </w:t>
      </w:r>
      <w:r w:rsidR="00D82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AE642A" w:rsidRPr="00562181" w:rsidRDefault="00AD6A26" w:rsidP="00E65F7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Регламенту Олимп</w:t>
      </w:r>
      <w:r w:rsidR="00E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Кубка России по футболу сезона 2017-2018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E642A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42A" w:rsidRPr="00562181" w:rsidRDefault="00AE642A" w:rsidP="00AE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2A" w:rsidRPr="00562181" w:rsidRDefault="00AE642A" w:rsidP="00AE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2A" w:rsidRPr="00562181" w:rsidRDefault="00AE642A" w:rsidP="00AE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FC" w:rsidRDefault="00A00823" w:rsidP="00D82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КОММЕРЧЕСКИХ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ПРАВАХ</w:t>
      </w:r>
      <w:proofErr w:type="gramEnd"/>
    </w:p>
    <w:p w:rsidR="00AE642A" w:rsidRPr="00562181" w:rsidRDefault="00AE642A" w:rsidP="00AE642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42A" w:rsidRPr="00562181" w:rsidRDefault="00AE642A" w:rsidP="00A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2A" w:rsidRPr="00562181" w:rsidRDefault="00AE642A" w:rsidP="00AE64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gramStart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20.2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329-фз «О физическо</w:t>
      </w:r>
      <w:r w:rsidR="00F050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культуре и спорте в РФ», ст.74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ФИФА и ст. 61 Устава РФС, РФС является собственником коммерческих прав, возникающих в связ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организацией и проведением С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и са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третьих лиц реализует следующие  права: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Телевизионные права</w:t>
      </w:r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 (права на производство и использование по всему миру телевизионного сигнала с Матчей) в полном объеме, без каких-либо ограничений по месту и содержанию, а также право на прямые телевизионные трансляции; право на телевизионные  трансляции в записи и транслируемые с задержкой; право на обработку и воспроизводство записей Матчей всеми техническими способами;</w:t>
      </w:r>
      <w:proofErr w:type="gramEnd"/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право на использование фрагментов трансляций в выпусках информационных программ, еженедельных обзорных и других программах; право на совмещение трансляции с голосом комментатора; право на использование голоса комментатора в </w:t>
      </w:r>
      <w:proofErr w:type="spellStart"/>
      <w:r w:rsidRPr="00562181">
        <w:rPr>
          <w:rFonts w:ascii="Times New Roman" w:eastAsia="Times New Roman" w:hAnsi="Times New Roman" w:cs="Times New Roman"/>
          <w:sz w:val="24"/>
          <w:szCs w:val="24"/>
        </w:rPr>
        <w:t>радиоверсии</w:t>
      </w:r>
      <w:proofErr w:type="spellEnd"/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 трансляции; право на использование фрагментов трансляций для производства </w:t>
      </w:r>
      <w:proofErr w:type="spellStart"/>
      <w:r w:rsidRPr="00562181">
        <w:rPr>
          <w:rFonts w:ascii="Times New Roman" w:eastAsia="Times New Roman" w:hAnsi="Times New Roman" w:cs="Times New Roman"/>
          <w:sz w:val="24"/>
          <w:szCs w:val="24"/>
        </w:rPr>
        <w:t>промороликов</w:t>
      </w:r>
      <w:proofErr w:type="spellEnd"/>
      <w:r w:rsidRPr="00562181">
        <w:rPr>
          <w:rFonts w:ascii="Times New Roman" w:eastAsia="Times New Roman" w:hAnsi="Times New Roman" w:cs="Times New Roman"/>
          <w:sz w:val="24"/>
          <w:szCs w:val="24"/>
        </w:rPr>
        <w:t>, анонсирующих последующие Матчи; право на распространение фрагментов трансляций среди электронных средств массовой информации в целях размещения в информационных программах;</w:t>
      </w:r>
      <w:proofErr w:type="gramEnd"/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 право на предоставление фрагментов трансляций любому телевизионному каналу и иным лицам; право накладывать стандартный логотип на трансляцию; право накладывать фактическую информацию и графики на трансляцию; право на использование трансляции каждого Матча для размещения в Интернете; право осуществлять иные трансляции существующими или иными способами, которые возникнут в течение</w:t>
      </w:r>
      <w:r w:rsidR="00745086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F3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562181">
        <w:rPr>
          <w:rFonts w:ascii="Times New Roman" w:eastAsia="Times New Roman" w:hAnsi="Times New Roman" w:cs="Times New Roman"/>
          <w:sz w:val="24"/>
          <w:szCs w:val="24"/>
        </w:rPr>
        <w:t>Радиоправа</w:t>
      </w:r>
      <w:proofErr w:type="spellEnd"/>
      <w:r w:rsidRPr="00562181">
        <w:rPr>
          <w:rFonts w:ascii="Times New Roman" w:eastAsia="Times New Roman" w:hAnsi="Times New Roman" w:cs="Times New Roman"/>
          <w:sz w:val="24"/>
          <w:szCs w:val="24"/>
        </w:rPr>
        <w:t xml:space="preserve"> (права на производство и использование по всему миру радиосигнала с Матчей) во всем диапазоне частот, без каких-либо ограничений по содержанию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 на воспроизведение и коммерческое распространение материалов Матчей на видеокассетах, </w:t>
      </w:r>
      <w:r w:rsidRPr="00562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2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электронных носителях, в сети Интернет, по каналам мобильной связи и другим визуальным, а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удио- и аудиовизуальным каналам.</w:t>
      </w:r>
    </w:p>
    <w:p w:rsidR="00AE642A" w:rsidRDefault="00AE642A" w:rsidP="00337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раво назначения офи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циальных спонсоров и партнеров С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оревнования, (включая право 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назначения титульного спонсора).</w:t>
      </w:r>
    </w:p>
    <w:p w:rsidR="00337CF3" w:rsidRPr="00562181" w:rsidRDefault="00337CF3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Реализуя данное право, РФС назначил титульным спонсором Соревнования </w:t>
      </w:r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ООО «БК» Олимп» (далее – «Титульный», «Титульный спонсор»).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Право на организацию (по согласованию с Клубом, являющимся принимающей стороной в соответствующем Матче) коммерческих, информационных, рекламных и иных мероприятий на Стадионе, в том числе на футбольном поле, во время перерывов Матчей, перед н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ачалом и после окончания Матчей.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</w:rPr>
        <w:t>1.6. Право на использование в рекламных и коммерческих целях наименования, логотипа и иных офици</w:t>
      </w:r>
      <w:r w:rsidR="006B67FC">
        <w:rPr>
          <w:rFonts w:ascii="Times New Roman" w:eastAsia="Times New Roman" w:hAnsi="Times New Roman" w:cs="Times New Roman"/>
          <w:sz w:val="24"/>
          <w:szCs w:val="24"/>
        </w:rPr>
        <w:t>альных обозначений Соревнования.</w:t>
      </w:r>
    </w:p>
    <w:p w:rsidR="009D2DCC" w:rsidRDefault="009D2DCC" w:rsidP="00E70F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81">
        <w:rPr>
          <w:rFonts w:ascii="Times New Roman" w:hAnsi="Times New Roman" w:cs="Times New Roman"/>
          <w:sz w:val="24"/>
          <w:szCs w:val="24"/>
        </w:rPr>
        <w:t xml:space="preserve">1.7. Право на размещение логотипа Титульного Спонсора Соревнования согласно установленным требованиям на рукаве игровой формы футболистов команд – участниц всех Матчей, начиная с 1/16 </w:t>
      </w:r>
      <w:r w:rsidR="006B67FC">
        <w:rPr>
          <w:rFonts w:ascii="Times New Roman" w:hAnsi="Times New Roman" w:cs="Times New Roman"/>
          <w:sz w:val="24"/>
          <w:szCs w:val="24"/>
        </w:rPr>
        <w:t>финала Соревнования.</w:t>
      </w:r>
    </w:p>
    <w:p w:rsidR="00337CF3" w:rsidRDefault="00337CF3" w:rsidP="00337CF3">
      <w:pPr>
        <w:pStyle w:val="a7"/>
        <w:ind w:left="0" w:firstLine="709"/>
        <w:jc w:val="both"/>
      </w:pPr>
      <w:r>
        <w:lastRenderedPageBreak/>
        <w:t>Реализуя данное право, РФС устанавливает следующие требования:</w:t>
      </w:r>
    </w:p>
    <w:p w:rsidR="00337CF3" w:rsidRDefault="00337CF3" w:rsidP="00337CF3">
      <w:pPr>
        <w:pStyle w:val="a7"/>
        <w:ind w:left="0" w:firstLine="709"/>
        <w:jc w:val="both"/>
      </w:pPr>
      <w:r>
        <w:t xml:space="preserve">а) логотип Титульного Спонсора Соревнования должен быть размещен на правом рукаве игровой формы футболистов команд – участниц всех Матчей, начиная с 1/16 финала Соревнования; </w:t>
      </w:r>
    </w:p>
    <w:p w:rsidR="00337CF3" w:rsidRDefault="00337CF3" w:rsidP="00337CF3">
      <w:pPr>
        <w:pStyle w:val="a7"/>
        <w:ind w:left="0" w:firstLine="709"/>
        <w:jc w:val="both"/>
      </w:pPr>
      <w:r>
        <w:t xml:space="preserve">б) размер логотипа Титульного Спонсора Соревнования должен составлять </w:t>
      </w:r>
      <w:r>
        <w:br/>
      </w:r>
      <w:r>
        <w:t>10х10 см.</w:t>
      </w:r>
    </w:p>
    <w:p w:rsidR="00337CF3" w:rsidRPr="00562181" w:rsidRDefault="00337CF3" w:rsidP="00337CF3">
      <w:pPr>
        <w:pStyle w:val="a7"/>
        <w:spacing w:after="120"/>
        <w:ind w:left="0" w:firstLine="709"/>
        <w:jc w:val="both"/>
        <w:rPr>
          <w:rFonts w:eastAsia="Times New Roman"/>
        </w:rPr>
      </w:pPr>
      <w:r>
        <w:t>Нанесение любых других логотипов</w:t>
      </w:r>
      <w:r w:rsidRPr="00531AB6">
        <w:t xml:space="preserve"> </w:t>
      </w:r>
      <w:r>
        <w:t>на игровой форме футболистов команд – участниц всех Матчей, начиная с 1/16 финала Соревнования,  в обязательном порядке согласовывается с РФС. При этом размещение на игровой форме логотипов компаний конкурентов Титульного спонсора и других официальных спонсоров и партнеров Соревнования недопустимо.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2DCC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коммерческое использование материалов послематчевых пресс-конференций и </w:t>
      </w:r>
      <w:r w:rsidRPr="00562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flash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-интервью с И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гроками и Официальными лицами Клубов;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D2DC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Право на демонстрацию, бесплатное распространение, продажу продукции (по согласованию с Клубом, являющимся принимающей стороной в соответствующем Матче), проведение розыгрышей продукции и назначение специальн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призов официальных спонсоров/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партнеров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 – на Стадионе.</w:t>
      </w:r>
    </w:p>
    <w:p w:rsidR="00AE642A" w:rsidRPr="00337CF3" w:rsidRDefault="00AE642A" w:rsidP="00337C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D2DC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коммерческие права, связанные с организацией и проведением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только иное не предусмотрено настоящим Приложением к Регламенту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футболу</w:t>
      </w:r>
      <w:r w:rsidR="009F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53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Клубам, являющимся принимающей стороной в соотве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тствующем Матче, РФС до стадии 1/2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финала включительно передает </w:t>
      </w:r>
      <w:r w:rsidR="009D2DC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безвозмездной основе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коммерческие права: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Визуальные права в части размещения информационных материалов на следующих рекламных конструкциях, расположенных по периметру футбольного поля (альтернативно, в зависимости от тех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нических возможностей стадиона):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8 стационарных щитовых конструкциях, размером 1,0 м х </w:t>
      </w:r>
      <w:smartTag w:uri="urn:schemas-microsoft-com:office:smarttags" w:element="metricconverter">
        <w:smartTagPr>
          <w:attr w:name="ProductID" w:val="5,0 м"/>
        </w:smartTagPr>
        <w:r w:rsidRPr="0056218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5,0 м</w:t>
        </w:r>
      </w:smartTag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каждая, расположенных на первой рекламной линии в зоне видимости телевизионных камер 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(согласно схеме в Приложении № 4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Регламенту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Кубка 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футболу</w:t>
      </w:r>
      <w:r w:rsidR="0033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53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Список рекламодателей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размещаемых Клубами на указанных поверхностях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РФС и не должен содержать рекламы компаний конкурентов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циальных спонсоров и партнеров С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оревнования;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ротационных машинах и/или электронных панно</w:t>
      </w:r>
      <w:r w:rsidR="008C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(СДУ)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др. конструкциях при условии, что общий объем экспозиции информационных материалов будет не меньше, чем при использовании стационарной щитовой конструкции.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рекламодателей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размещаемых Клубами на указанных поверхностях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РФС и не должен содержать рекламы компаний конкурентов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официальных спо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нсоров и партнеров 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оревнования.</w:t>
      </w:r>
    </w:p>
    <w:p w:rsidR="00337CF3" w:rsidRDefault="00AE642A" w:rsidP="00337CF3">
      <w:pPr>
        <w:pStyle w:val="a7"/>
        <w:spacing w:before="120"/>
        <w:ind w:left="0" w:firstLine="709"/>
        <w:jc w:val="both"/>
      </w:pPr>
      <w:r w:rsidRPr="00562181">
        <w:rPr>
          <w:rFonts w:eastAsia="Times New Roman"/>
          <w:bCs/>
        </w:rPr>
        <w:t xml:space="preserve">2.2. </w:t>
      </w:r>
      <w:r w:rsidR="00337CF3">
        <w:t xml:space="preserve">Право выпуска и реализации входных билетов и абонементов (являющимися бланками строгой отчетности) на Матчи, а также иной печатной продукции, связанной с проведением Матчей (плакаты, программки, афиши, пресс-релизы, протоколы и т.д.). </w:t>
      </w:r>
      <w:proofErr w:type="gramStart"/>
      <w:r w:rsidR="00337CF3">
        <w:t>При этом, на лицевой и обороной стороне входных билетов, приглашениях, программках матчей, служебных пропусках и авто пропусках и других печатных материалах, выпускаемых в связи с проведением каждого Матча, начиная со стадии 1/16 финала Соревнования, должно быть размещение наименования «Олимп – Кубок России по футболу сезона 2017-2018 гг.», а также размещен логотип Титульного спонсора Кубка и логотипы официальных спонсоров и партнеров</w:t>
      </w:r>
      <w:proofErr w:type="gramEnd"/>
      <w:r w:rsidR="00337CF3">
        <w:t xml:space="preserve"> Соревнования. Нанесение любых других логотипов, кроме логотипов официальных спонсоров и партнеров Соревнования в </w:t>
      </w:r>
      <w:r w:rsidR="00337CF3">
        <w:lastRenderedPageBreak/>
        <w:t>обязательном порядке согласовывается с РФС. При этом размещение на печатной продукции логотипов компаний конкурентов Титульного спонсора и других официальных спонсоров и партнеров Соревнования недопустимо.</w:t>
      </w:r>
    </w:p>
    <w:p w:rsidR="00337CF3" w:rsidRPr="00337CF3" w:rsidRDefault="00337CF3" w:rsidP="00337C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CF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с РФС печатной продукции, указанной в настоящем подпункте, должно производиться не </w:t>
      </w:r>
      <w:proofErr w:type="gramStart"/>
      <w:r w:rsidRPr="00337CF3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37CF3">
        <w:rPr>
          <w:rFonts w:ascii="Times New Roman" w:hAnsi="Times New Roman" w:cs="Times New Roman"/>
          <w:sz w:val="24"/>
          <w:szCs w:val="24"/>
          <w:lang w:eastAsia="ru-RU"/>
        </w:rPr>
        <w:t xml:space="preserve"> чем за 3 календарных дня до старта продажи/распространения печатной продукции к соответствующем Матчу Соревнования.</w:t>
      </w:r>
    </w:p>
    <w:p w:rsidR="00AE642A" w:rsidRPr="00562181" w:rsidRDefault="00BB215A" w:rsidP="00337C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AE642A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на размещение аудиорекламы на Стадионе во время проведения Матча. </w:t>
      </w:r>
      <w:r w:rsidR="00AE642A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рекламодателей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42A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размещаемых Клубами</w:t>
      </w:r>
      <w:r w:rsidR="006B6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42A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РФС и не должен содержать рекламы компаний конкурентов </w:t>
      </w:r>
      <w:r w:rsidR="00AE642A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официальных спо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нсоров и партнеров соревнования.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РФС, помимо </w:t>
      </w:r>
      <w:proofErr w:type="gramStart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</w:t>
      </w:r>
      <w:proofErr w:type="gramEnd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п.1 настоящего Приложения, принадлежат следующие коммерческие права: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чением прав, указанных в п. 2.1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Приложения, все визуальные права (право использования информационных носителей и визуального пространства на Стадионе во время проведения Матча, в том числе в зоне видимости телевизионных камер, для размещения рекламных и информационных материалов), в том числе в части размещения информационных материалов на следующих рекламных конструкциях, расположенных на стадиона (альтернативно, в зависимости от технических возможностей</w:t>
      </w:r>
      <w:proofErr w:type="gramEnd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стадиона):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стационарных щитовых конструкциях, размером 1,0 м х </w:t>
      </w:r>
      <w:smartTag w:uri="urn:schemas-microsoft-com:office:smarttags" w:element="metricconverter">
        <w:smartTagPr>
          <w:attr w:name="ProductID" w:val="5,0 м"/>
        </w:smartTagPr>
        <w:r w:rsidRPr="0056218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5,0 м</w:t>
        </w:r>
      </w:smartTag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каждая, расположенных в первой и второй рекламной линиях в зоне видимости телевизионных камер;</w:t>
      </w:r>
    </w:p>
    <w:p w:rsidR="00AE642A" w:rsidRPr="00562181" w:rsidRDefault="00AE642A" w:rsidP="00337C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ротационных машинах и/или электронных панно</w:t>
      </w:r>
      <w:r w:rsidR="008C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(СДУ)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др. конструкциях при условии, что общий объем экспозиции информационных материалов будет не меньше, чем при использовании с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тационарной щитовой конструкции</w:t>
      </w:r>
      <w:r w:rsidR="00522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этом рекламное время на </w:t>
      </w:r>
      <w:r w:rsidR="00122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конструкциях</w:t>
      </w:r>
      <w:r w:rsidR="00522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принадлежит РФС </w:t>
      </w:r>
      <w:r w:rsidR="00122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522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два часа до Матча, в перерыве Матча и до момента полного выхода зрителей с трибун после окончания Матча.</w:t>
      </w:r>
      <w:proofErr w:type="gramEnd"/>
      <w:r w:rsidR="00522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Сценарий выходов роликов на данных конструкциях в обязательном порядке согласовывается с РФС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37CF3" w:rsidRPr="00337CF3" w:rsidRDefault="00AE642A" w:rsidP="00337CF3">
      <w:pPr>
        <w:pStyle w:val="a7"/>
        <w:ind w:left="0" w:firstLine="708"/>
        <w:jc w:val="both"/>
        <w:rPr>
          <w:rFonts w:eastAsia="Times New Roman"/>
          <w:bCs/>
        </w:rPr>
      </w:pPr>
      <w:r w:rsidRPr="00562181">
        <w:rPr>
          <w:rFonts w:eastAsia="Times New Roman"/>
          <w:bCs/>
        </w:rPr>
        <w:t xml:space="preserve">в) </w:t>
      </w:r>
      <w:r w:rsidR="00337CF3" w:rsidRPr="00337CF3">
        <w:rPr>
          <w:rFonts w:eastAsia="Times New Roman"/>
          <w:bCs/>
        </w:rPr>
        <w:t>на баннере в центральном круге футбольного поля. Баннер размещается на поле силами Клубов. Баннер выносится перед началом Матча (за 10 минут до начала) 30 юными футболистами.</w:t>
      </w:r>
    </w:p>
    <w:p w:rsidR="00337CF3" w:rsidRPr="00337CF3" w:rsidRDefault="00337CF3" w:rsidP="00337CF3">
      <w:pPr>
        <w:pStyle w:val="a7"/>
        <w:ind w:left="0" w:firstLine="708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 xml:space="preserve">Клуб, являющийся принимающей стороной в соответствующем Матче, в случае поражения в Матче в течение 3-х рабочих дней </w:t>
      </w:r>
      <w:proofErr w:type="gramStart"/>
      <w:r w:rsidRPr="00337CF3">
        <w:rPr>
          <w:rFonts w:eastAsia="Times New Roman"/>
          <w:bCs/>
        </w:rPr>
        <w:t>с даты окончания</w:t>
      </w:r>
      <w:proofErr w:type="gramEnd"/>
      <w:r w:rsidRPr="00337CF3">
        <w:rPr>
          <w:rFonts w:eastAsia="Times New Roman"/>
          <w:bCs/>
        </w:rPr>
        <w:t xml:space="preserve"> такого Матча обеспечивает своими силами и за свой счет возврат баннера, указанного в настоящем подпункте, в РФС по адресу: 115172, г. Москва, ул. Народная, д.7. </w:t>
      </w:r>
    </w:p>
    <w:p w:rsidR="00AE642A" w:rsidRPr="00562181" w:rsidRDefault="00337CF3" w:rsidP="00337C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победы Клуба, являющегося принимающей стороной в соответствующем Матче, Клуб обеспечивает сохранность баннера, указанного в настоящем пункте, а также церемонию его выноса в соответствии с условиями настоящего подпункта. В </w:t>
      </w:r>
      <w:proofErr w:type="gramStart"/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Клубу по результатам жеребьевки предстоит игра на выезде, такой Клуб обеспечивает своими силами и за свой счет  доставку баннера, указанного в настоящем подпункте, Клубу, являющемуся принимающей стороной по результатам жеребьевки</w:t>
      </w:r>
      <w:r w:rsidR="00AE642A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на рекламно-информационном панно 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«заднике»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устанавливается на </w:t>
      </w:r>
      <w:proofErr w:type="spellStart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предматчевых</w:t>
      </w:r>
      <w:proofErr w:type="spellEnd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послематчевых пресс-конференциях, в </w:t>
      </w:r>
      <w:proofErr w:type="gramStart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микст-зонах</w:t>
      </w:r>
      <w:proofErr w:type="gramEnd"/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зонах флэш-интервью. </w:t>
      </w:r>
      <w:r w:rsidR="00337CF3"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Рекламно-информационное панно должно содержать наименование «Олимп – Кубок России по футболу сезона 2017-2018 гг.»</w:t>
      </w:r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логотип Титульного спонсора Кубка и логотипы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официальных спонсоров и партнеров соревнования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Логотип</w:t>
      </w:r>
      <w:r w:rsidR="00AB6D8E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Титульного спонсора </w:t>
      </w:r>
      <w:r w:rsidR="00AB6D8E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логотипы </w:t>
      </w:r>
      <w:r w:rsidR="00AB6D8E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официальных спонсоров </w:t>
      </w:r>
      <w:r w:rsidR="00CC3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32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 не менее </w:t>
      </w:r>
      <w:r w:rsidR="00AB6D8E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площади, предназначенной для размещения коммерческой рекламы. Нанесение любых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других логотипов, кроме логотипов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официальных спонсоров и партнеров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Кубка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футболу </w:t>
      </w:r>
      <w:r w:rsidR="0033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сезона 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53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обязательном порядке согласовываются с РФС;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</w:t>
      </w:r>
      <w:proofErr w:type="gramStart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proofErr w:type="gramEnd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внутренних поверхностях скамеек запасных игроков. Нанесение на скамейки любых других материалов, кроме материалов </w:t>
      </w:r>
      <w:r w:rsidR="009A6BAC"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Титульного и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</w:t>
      </w:r>
      <w:r w:rsidR="00A0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циальных спонсоров и партнеров С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оревнования не допускается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видеролики</w:t>
      </w:r>
      <w:proofErr w:type="spellEnd"/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рекламными материалами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официальных спонсоров и партнеров соревнования</w:t>
      </w: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табло стадиона. Размещение на табло любых других видео материалов, кроме материалов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официальных спонсоров и партне</w:t>
      </w:r>
      <w:r w:rsidR="008C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соревнования не допускается.</w:t>
      </w:r>
    </w:p>
    <w:p w:rsidR="00AE642A" w:rsidRPr="00562181" w:rsidRDefault="00AE642A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Все коммерческие права на финальный матч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Кубка России по футболу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сезона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9A6BA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принадлежат РФС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6BAC" w:rsidRPr="00562181" w:rsidRDefault="009A6BAC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Клубам 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участникам финального М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атча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РФС при проведении финального М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атча Соревнования передает на безвозмездной основе следующие коммерческие права:</w:t>
      </w:r>
    </w:p>
    <w:p w:rsidR="009A6BAC" w:rsidRPr="00562181" w:rsidRDefault="00DC78CB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A6BA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A6BA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изуальные права в части размещения информационных материалов на следующих рекламных конструкциях, расположенных по периметру футбольного поля (альтернативно, в зависимости от тех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нических возможностей стадиона):</w:t>
      </w:r>
    </w:p>
    <w:p w:rsidR="009A6BAC" w:rsidRPr="00562181" w:rsidRDefault="009A6BAC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каждому Клубу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финального 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атча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 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</w:t>
      </w:r>
      <w:r w:rsidR="00D82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стационарных щитовых конст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рукции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размером 1,0 м х 5,0 м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каждая, расположенных на первой рекламной линии в зоне видимости телевизионных камер (согласно схеме в Приложении № </w:t>
      </w:r>
      <w:r w:rsidR="00D82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Регламенту 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 -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Кубка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России по футболу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сезона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Список рекламодателей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размещаемых Клубами на указанных поверхностях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согласовывается с РФС и не должен содержать рекламы компаний конкурентов Титульного и офи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циальных спонсоров и партнеров С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оревнования;</w:t>
      </w:r>
    </w:p>
    <w:p w:rsidR="009A6BAC" w:rsidRPr="00562181" w:rsidRDefault="009A6BAC" w:rsidP="00E70F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ротационных машинах и/или электронных панно либо др. конструкциях при условии, что общий объем экспозиции информационных материалов будет не меньше, чем при использовании стационарной щитовой конструкции. Список рекламодателей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размещаемых Клубами на указанных поверхностях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согласовывается с РФС и не должен содержать рекламы компаний конкурентов Титульного и официальных спо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нсоров и партнеров С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оревнования.</w:t>
      </w:r>
    </w:p>
    <w:p w:rsidR="00AE642A" w:rsidRPr="00562181" w:rsidRDefault="00AE642A" w:rsidP="00E70FF2">
      <w:pPr>
        <w:pBdr>
          <w:bottom w:val="single" w:sz="4" w:space="1" w:color="FFFFFF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РФС вправе определ</w:t>
      </w:r>
      <w:r w:rsidR="009A6BA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официаль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ный мяч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 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B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Кубка России по футболу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сезона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70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который в таком случае обязательно используется участниками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Кубка России по футболу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сезона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E5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гг., начиная со стадии 1/16 финала. РФС в таком случае предоставляет участникам 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D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Кубка России</w:t>
      </w:r>
      <w:r w:rsid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футболу сезона 2017-2018 гг.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необходимое количество </w:t>
      </w:r>
      <w:r w:rsidR="00665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мячей для проведения указанных М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атчей</w:t>
      </w:r>
      <w:r w:rsidR="009A6BAC"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37CF3" w:rsidRPr="00337CF3" w:rsidRDefault="00AE642A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562181">
        <w:rPr>
          <w:rFonts w:eastAsia="Times New Roman"/>
          <w:bCs/>
        </w:rPr>
        <w:t xml:space="preserve">3.4. </w:t>
      </w:r>
      <w:r w:rsidR="00337CF3">
        <w:t>РФС имеет право на получение на безвозмездной основе (при наличии предва</w:t>
      </w:r>
      <w:r w:rsidR="00337CF3" w:rsidRPr="00337CF3">
        <w:rPr>
          <w:rFonts w:eastAsia="Times New Roman"/>
          <w:bCs/>
        </w:rPr>
        <w:t xml:space="preserve">рительного письменного запроса, не позднее, чем за 2 </w:t>
      </w:r>
      <w:proofErr w:type="gramStart"/>
      <w:r w:rsidR="00337CF3" w:rsidRPr="00337CF3">
        <w:rPr>
          <w:rFonts w:eastAsia="Times New Roman"/>
          <w:bCs/>
        </w:rPr>
        <w:t>календарных</w:t>
      </w:r>
      <w:proofErr w:type="gramEnd"/>
      <w:r w:rsidR="00337CF3" w:rsidRPr="00337CF3">
        <w:rPr>
          <w:rFonts w:eastAsia="Times New Roman"/>
          <w:bCs/>
        </w:rPr>
        <w:t xml:space="preserve"> дня до соответствующего Матча) на каждый Матч Соревнования: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>а) на стадии до 1/16 финала: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>- билеты категории VIP – 14 шт.;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>- билеты первой категории – 40 шт.;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 xml:space="preserve">- </w:t>
      </w:r>
      <w:proofErr w:type="spellStart"/>
      <w:r w:rsidRPr="00337CF3">
        <w:rPr>
          <w:rFonts w:eastAsia="Times New Roman"/>
          <w:bCs/>
        </w:rPr>
        <w:t>автопропуска</w:t>
      </w:r>
      <w:proofErr w:type="spellEnd"/>
      <w:r w:rsidRPr="00337CF3">
        <w:rPr>
          <w:rFonts w:eastAsia="Times New Roman"/>
          <w:bCs/>
        </w:rPr>
        <w:t xml:space="preserve"> – 6 шт.;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>б) на стадии с 1/16 по 1/2 финала включительно: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>- билеты категории VIP – 45 шт.;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>- билеты первой категории – 85 шт.;</w:t>
      </w:r>
    </w:p>
    <w:p w:rsidR="00337CF3" w:rsidRPr="00337CF3" w:rsidRDefault="00337CF3" w:rsidP="00337CF3">
      <w:pPr>
        <w:pStyle w:val="a7"/>
        <w:ind w:left="0" w:firstLine="709"/>
        <w:jc w:val="both"/>
        <w:rPr>
          <w:rFonts w:eastAsia="Times New Roman"/>
          <w:bCs/>
        </w:rPr>
      </w:pPr>
      <w:r w:rsidRPr="00337CF3">
        <w:rPr>
          <w:rFonts w:eastAsia="Times New Roman"/>
          <w:bCs/>
        </w:rPr>
        <w:t xml:space="preserve">- </w:t>
      </w:r>
      <w:proofErr w:type="spellStart"/>
      <w:r w:rsidRPr="00337CF3">
        <w:rPr>
          <w:rFonts w:eastAsia="Times New Roman"/>
          <w:bCs/>
        </w:rPr>
        <w:t>автопропуска</w:t>
      </w:r>
      <w:proofErr w:type="spellEnd"/>
      <w:r w:rsidRPr="00337CF3">
        <w:rPr>
          <w:rFonts w:eastAsia="Times New Roman"/>
          <w:bCs/>
        </w:rPr>
        <w:t xml:space="preserve"> – 40.</w:t>
      </w:r>
    </w:p>
    <w:p w:rsidR="00337CF3" w:rsidRPr="00337CF3" w:rsidRDefault="00337CF3" w:rsidP="00337C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Указанное в настоящем пункте количество билетов на соответствующую стадию Соревнования должны быть переданы РФС в месте проведения соответствующего Матча Соревнования или направлены в РФС по адресу: 115172, г. Москва, ул. Народная, д.7.</w:t>
      </w:r>
    </w:p>
    <w:p w:rsidR="00562181" w:rsidRPr="00562181" w:rsidRDefault="00562181" w:rsidP="00337C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Каждому Клубу </w:t>
      </w:r>
      <w:r w:rsidR="00A0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участнику финального М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атча</w:t>
      </w:r>
      <w:r w:rsidR="00A0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РФС при проведении финального М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атча Соревнования передает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безвозмездной основе </w:t>
      </w:r>
      <w:r w:rsidRPr="0056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следующее количество билетов:</w:t>
      </w:r>
    </w:p>
    <w:p w:rsidR="00562181" w:rsidRPr="00562181" w:rsidRDefault="00562181" w:rsidP="00E7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билеты категории VIP – 20 шт.;</w:t>
      </w:r>
    </w:p>
    <w:p w:rsidR="00562181" w:rsidRPr="00562181" w:rsidRDefault="00562181" w:rsidP="00E7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билеты первой категории – 100 шт.;</w:t>
      </w:r>
    </w:p>
    <w:p w:rsidR="00AE642A" w:rsidRDefault="00665760" w:rsidP="00FD4F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</w:t>
      </w:r>
      <w:proofErr w:type="spellEnd"/>
      <w:r w:rsidR="00E7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шт.</w:t>
      </w:r>
    </w:p>
    <w:p w:rsidR="00337CF3" w:rsidRPr="00337CF3" w:rsidRDefault="00337CF3" w:rsidP="00337C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proofErr w:type="gramStart"/>
      <w:r w:rsidRPr="0033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Начиная со стадии 1/16 Кубка России Клуб, определившийся принимающей стороной Матча по результатам жеребьевки, предоставляет в течение 1 рабочего дня после проведения такой жеребьевки технические требования к видеороликам и рекламным конструкциям, указанным в подпунктах «а)», «б)» и «е)» подпункта 3.1 пункта 3 настоящего Приложения.</w:t>
      </w:r>
      <w:proofErr w:type="gramEnd"/>
    </w:p>
    <w:p w:rsidR="00FD4FFD" w:rsidRPr="00FA408C" w:rsidRDefault="00FD4FFD" w:rsidP="00337CF3">
      <w:pPr>
        <w:pStyle w:val="a7"/>
        <w:numPr>
          <w:ilvl w:val="1"/>
          <w:numId w:val="3"/>
        </w:numPr>
        <w:tabs>
          <w:tab w:val="left" w:pos="1134"/>
        </w:tabs>
        <w:spacing w:after="120"/>
        <w:ind w:left="0" w:firstLine="709"/>
        <w:jc w:val="both"/>
      </w:pPr>
      <w:r w:rsidRPr="00FA408C">
        <w:t xml:space="preserve"> </w:t>
      </w:r>
      <w:proofErr w:type="gramStart"/>
      <w:r w:rsidR="00337CF3">
        <w:t>По окончании Матчей в трехдневный срок Клубы обязаны предоставить в Коммерческий департамент РФС фотоотчеты о размещении рекламных материалов спонсоров Кубка России (по вс</w:t>
      </w:r>
      <w:bookmarkStart w:id="0" w:name="_GoBack"/>
      <w:bookmarkEnd w:id="0"/>
      <w:r w:rsidR="00337CF3">
        <w:t>ем позициям, по каждому спонсору), а также образцы печатной продукции, указанной в подпункте 2.2 пункта 2 настоящего Приложения, в количестве 5 штук (по всем позициям, по каждому спонсору).</w:t>
      </w:r>
      <w:proofErr w:type="gramEnd"/>
    </w:p>
    <w:p w:rsidR="00FD4FFD" w:rsidRPr="00FA408C" w:rsidRDefault="00337CF3" w:rsidP="0076344C">
      <w:pPr>
        <w:pStyle w:val="a7"/>
        <w:tabs>
          <w:tab w:val="left" w:pos="0"/>
          <w:tab w:val="left" w:pos="9356"/>
        </w:tabs>
        <w:spacing w:after="120"/>
        <w:ind w:left="0" w:firstLine="708"/>
        <w:jc w:val="both"/>
      </w:pPr>
      <w:r>
        <w:t>3.8</w:t>
      </w:r>
      <w:r w:rsidR="008F3C2D" w:rsidRPr="00FA408C">
        <w:t>. Монтаж/</w:t>
      </w:r>
      <w:r w:rsidR="00FD4FFD" w:rsidRPr="00FA408C">
        <w:t>демонтаж рекламных мате</w:t>
      </w:r>
      <w:r w:rsidR="0076344C" w:rsidRPr="00FA408C">
        <w:t>риалов к М</w:t>
      </w:r>
      <w:r w:rsidR="00FD4FFD" w:rsidRPr="00FA408C">
        <w:t xml:space="preserve">атчам </w:t>
      </w:r>
      <w:r w:rsidR="0076344C" w:rsidRPr="00FA408C">
        <w:t xml:space="preserve">производится </w:t>
      </w:r>
      <w:r w:rsidR="00FD4FFD" w:rsidRPr="00FA408C">
        <w:t xml:space="preserve">клубами своими силами и за </w:t>
      </w:r>
      <w:r w:rsidR="0076344C" w:rsidRPr="00FA408C">
        <w:t>свой</w:t>
      </w:r>
      <w:r w:rsidR="00FD4FFD" w:rsidRPr="00FA408C">
        <w:t xml:space="preserve"> счет.</w:t>
      </w:r>
    </w:p>
    <w:p w:rsidR="00AE642A" w:rsidRPr="00FD4FFD" w:rsidRDefault="00AE642A" w:rsidP="00AE642A">
      <w:pPr>
        <w:pStyle w:val="Default"/>
        <w:rPr>
          <w:color w:val="auto"/>
        </w:rPr>
      </w:pPr>
    </w:p>
    <w:sectPr w:rsidR="00AE642A" w:rsidRPr="00FD4FFD" w:rsidSect="004344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A" w:rsidRDefault="00A01CBA" w:rsidP="0043447C">
      <w:pPr>
        <w:spacing w:after="0" w:line="240" w:lineRule="auto"/>
      </w:pPr>
      <w:r>
        <w:separator/>
      </w:r>
    </w:p>
  </w:endnote>
  <w:endnote w:type="continuationSeparator" w:id="0">
    <w:p w:rsidR="00A01CBA" w:rsidRDefault="00A01CBA" w:rsidP="0043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A" w:rsidRDefault="00A01CBA" w:rsidP="0043447C">
      <w:pPr>
        <w:spacing w:after="0" w:line="240" w:lineRule="auto"/>
      </w:pPr>
      <w:r>
        <w:separator/>
      </w:r>
    </w:p>
  </w:footnote>
  <w:footnote w:type="continuationSeparator" w:id="0">
    <w:p w:rsidR="00A01CBA" w:rsidRDefault="00A01CBA" w:rsidP="0043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49693"/>
      <w:docPartObj>
        <w:docPartGallery w:val="Page Numbers (Top of Page)"/>
        <w:docPartUnique/>
      </w:docPartObj>
    </w:sdtPr>
    <w:sdtEndPr/>
    <w:sdtContent>
      <w:p w:rsidR="0043447C" w:rsidRDefault="004344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F3">
          <w:rPr>
            <w:noProof/>
          </w:rPr>
          <w:t>5</w:t>
        </w:r>
        <w:r>
          <w:fldChar w:fldCharType="end"/>
        </w:r>
      </w:p>
    </w:sdtContent>
  </w:sdt>
  <w:p w:rsidR="0043447C" w:rsidRDefault="004344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923"/>
    <w:multiLevelType w:val="multilevel"/>
    <w:tmpl w:val="74D20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43A4794"/>
    <w:multiLevelType w:val="multilevel"/>
    <w:tmpl w:val="6AF6F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77A7A38"/>
    <w:multiLevelType w:val="hybridMultilevel"/>
    <w:tmpl w:val="228A5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A"/>
    <w:rsid w:val="0003350D"/>
    <w:rsid w:val="001223B6"/>
    <w:rsid w:val="001601D8"/>
    <w:rsid w:val="00162DCD"/>
    <w:rsid w:val="001727EC"/>
    <w:rsid w:val="0024464C"/>
    <w:rsid w:val="002E017F"/>
    <w:rsid w:val="003049F9"/>
    <w:rsid w:val="00314ABA"/>
    <w:rsid w:val="00337CF3"/>
    <w:rsid w:val="0035302F"/>
    <w:rsid w:val="003A33AF"/>
    <w:rsid w:val="0043447C"/>
    <w:rsid w:val="00522EAD"/>
    <w:rsid w:val="00562181"/>
    <w:rsid w:val="00665760"/>
    <w:rsid w:val="006B67FC"/>
    <w:rsid w:val="006E1EEC"/>
    <w:rsid w:val="00745086"/>
    <w:rsid w:val="00757359"/>
    <w:rsid w:val="0076344C"/>
    <w:rsid w:val="00817E09"/>
    <w:rsid w:val="00827F87"/>
    <w:rsid w:val="00832AD7"/>
    <w:rsid w:val="008650D1"/>
    <w:rsid w:val="008C6152"/>
    <w:rsid w:val="008F3C2D"/>
    <w:rsid w:val="009A28C4"/>
    <w:rsid w:val="009A6BAC"/>
    <w:rsid w:val="009D2DCC"/>
    <w:rsid w:val="009F2CC4"/>
    <w:rsid w:val="00A00823"/>
    <w:rsid w:val="00A01CBA"/>
    <w:rsid w:val="00A45ABB"/>
    <w:rsid w:val="00A6547A"/>
    <w:rsid w:val="00AB6D8E"/>
    <w:rsid w:val="00AC608C"/>
    <w:rsid w:val="00AD6A26"/>
    <w:rsid w:val="00AE642A"/>
    <w:rsid w:val="00BA6C99"/>
    <w:rsid w:val="00BB215A"/>
    <w:rsid w:val="00CC328E"/>
    <w:rsid w:val="00D61F00"/>
    <w:rsid w:val="00D82263"/>
    <w:rsid w:val="00DC78CB"/>
    <w:rsid w:val="00E53785"/>
    <w:rsid w:val="00E65F73"/>
    <w:rsid w:val="00E70FF2"/>
    <w:rsid w:val="00F050A8"/>
    <w:rsid w:val="00F22103"/>
    <w:rsid w:val="00F65F79"/>
    <w:rsid w:val="00FA408C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7C"/>
  </w:style>
  <w:style w:type="paragraph" w:styleId="a5">
    <w:name w:val="footer"/>
    <w:basedOn w:val="a"/>
    <w:link w:val="a6"/>
    <w:uiPriority w:val="99"/>
    <w:unhideWhenUsed/>
    <w:rsid w:val="004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7C"/>
  </w:style>
  <w:style w:type="paragraph" w:styleId="a7">
    <w:name w:val="List Paragraph"/>
    <w:basedOn w:val="a"/>
    <w:uiPriority w:val="34"/>
    <w:qFormat/>
    <w:rsid w:val="00FD4FF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7C"/>
  </w:style>
  <w:style w:type="paragraph" w:styleId="a5">
    <w:name w:val="footer"/>
    <w:basedOn w:val="a"/>
    <w:link w:val="a6"/>
    <w:uiPriority w:val="99"/>
    <w:unhideWhenUsed/>
    <w:rsid w:val="0043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7C"/>
  </w:style>
  <w:style w:type="paragraph" w:styleId="a7">
    <w:name w:val="List Paragraph"/>
    <w:basedOn w:val="a"/>
    <w:uiPriority w:val="34"/>
    <w:qFormat/>
    <w:rsid w:val="00FD4FF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В. Ю</dc:creator>
  <cp:lastModifiedBy> Стрельников</cp:lastModifiedBy>
  <cp:revision>5</cp:revision>
  <cp:lastPrinted>2017-08-17T07:58:00Z</cp:lastPrinted>
  <dcterms:created xsi:type="dcterms:W3CDTF">2017-05-15T15:07:00Z</dcterms:created>
  <dcterms:modified xsi:type="dcterms:W3CDTF">2017-08-25T08:21:00Z</dcterms:modified>
</cp:coreProperties>
</file>